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520B" w14:textId="39245044" w:rsidR="00973F15" w:rsidRPr="00973F15" w:rsidRDefault="00973F15" w:rsidP="00973F15">
      <w:pPr>
        <w:pStyle w:val="NormalWeb"/>
        <w:shd w:val="clear" w:color="auto" w:fill="FFFFFF"/>
        <w:spacing w:before="0" w:beforeAutospacing="0" w:after="160" w:afterAutospacing="0"/>
        <w:jc w:val="center"/>
        <w:rPr>
          <w:rFonts w:asciiTheme="minorHAnsi" w:eastAsiaTheme="minorHAnsi" w:hAnsiTheme="minorHAnsi" w:cstheme="minorBidi"/>
          <w:b/>
          <w:bCs/>
          <w:sz w:val="22"/>
          <w:szCs w:val="22"/>
        </w:rPr>
      </w:pPr>
      <w:r w:rsidRPr="00973F15">
        <w:rPr>
          <w:rFonts w:asciiTheme="minorHAnsi" w:eastAsiaTheme="minorHAnsi" w:hAnsiTheme="minorHAnsi" w:cstheme="minorBidi"/>
          <w:b/>
          <w:bCs/>
          <w:sz w:val="22"/>
          <w:szCs w:val="22"/>
        </w:rPr>
        <w:t>Corporate Governance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3F15" w14:paraId="28E88F73" w14:textId="77777777" w:rsidTr="00E17763">
        <w:tc>
          <w:tcPr>
            <w:tcW w:w="4675" w:type="dxa"/>
          </w:tcPr>
          <w:p w14:paraId="6E60DBD3" w14:textId="683913E2" w:rsidR="00973F15" w:rsidRPr="00973F15" w:rsidRDefault="00973F15" w:rsidP="00973F15">
            <w:pPr>
              <w:pStyle w:val="NormalWeb"/>
              <w:spacing w:before="0" w:beforeAutospacing="0" w:after="0" w:afterAutospacing="0"/>
              <w:jc w:val="center"/>
              <w:rPr>
                <w:rFonts w:asciiTheme="minorHAnsi" w:eastAsiaTheme="minorHAnsi" w:hAnsiTheme="minorHAnsi" w:cstheme="minorHAnsi"/>
                <w:b/>
                <w:bCs/>
                <w:sz w:val="22"/>
                <w:szCs w:val="22"/>
              </w:rPr>
            </w:pPr>
            <w:r w:rsidRPr="00973F15">
              <w:rPr>
                <w:rFonts w:asciiTheme="minorHAnsi" w:eastAsiaTheme="minorHAnsi" w:hAnsiTheme="minorHAnsi" w:cstheme="minorHAnsi"/>
                <w:b/>
                <w:bCs/>
                <w:sz w:val="22"/>
                <w:szCs w:val="22"/>
              </w:rPr>
              <w:t>English</w:t>
            </w:r>
          </w:p>
        </w:tc>
        <w:tc>
          <w:tcPr>
            <w:tcW w:w="4675" w:type="dxa"/>
          </w:tcPr>
          <w:p w14:paraId="14DE22C5" w14:textId="659B7EEC" w:rsidR="00973F15" w:rsidRPr="00973F15" w:rsidRDefault="00973F15" w:rsidP="00973F15">
            <w:pPr>
              <w:pStyle w:val="NormalWeb"/>
              <w:spacing w:before="0" w:beforeAutospacing="0" w:after="0" w:afterAutospacing="0"/>
              <w:jc w:val="center"/>
              <w:rPr>
                <w:rFonts w:asciiTheme="minorHAnsi" w:eastAsiaTheme="minorHAnsi" w:hAnsiTheme="minorHAnsi" w:cstheme="minorHAnsi"/>
                <w:b/>
                <w:bCs/>
                <w:sz w:val="22"/>
                <w:szCs w:val="22"/>
              </w:rPr>
            </w:pPr>
            <w:r w:rsidRPr="00973F15">
              <w:rPr>
                <w:rFonts w:asciiTheme="minorHAnsi" w:eastAsiaTheme="minorHAnsi" w:hAnsiTheme="minorHAnsi" w:cstheme="minorHAnsi"/>
                <w:b/>
                <w:bCs/>
                <w:sz w:val="22"/>
                <w:szCs w:val="22"/>
              </w:rPr>
              <w:t>Arabic</w:t>
            </w:r>
          </w:p>
        </w:tc>
      </w:tr>
      <w:tr w:rsidR="00973F15" w14:paraId="6D5AA928" w14:textId="77777777" w:rsidTr="00E17763">
        <w:tc>
          <w:tcPr>
            <w:tcW w:w="4675" w:type="dxa"/>
          </w:tcPr>
          <w:p w14:paraId="4EA76962" w14:textId="04535E06" w:rsid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r w:rsidRPr="00973F15">
              <w:rPr>
                <w:rFonts w:asciiTheme="minorHAnsi" w:eastAsiaTheme="minorHAnsi" w:hAnsiTheme="minorHAnsi" w:cstheme="minorHAnsi"/>
                <w:sz w:val="22"/>
                <w:szCs w:val="22"/>
              </w:rPr>
              <w:t>Good Corporate Governance is an integral part of the Company’s management and business philosophy. The Company subscribes fully to the principles and spirit of good Corporate Governance.</w:t>
            </w:r>
          </w:p>
          <w:p w14:paraId="0D4AB3F8" w14:textId="77777777" w:rsidR="00973F15" w:rsidRP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p>
          <w:p w14:paraId="0782B6B0" w14:textId="77777777" w:rsidR="00973F15" w:rsidRP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r w:rsidRPr="00973F15">
              <w:rPr>
                <w:rFonts w:asciiTheme="minorHAnsi" w:eastAsiaTheme="minorHAnsi" w:hAnsiTheme="minorHAnsi" w:cstheme="minorHAnsi"/>
                <w:sz w:val="22"/>
                <w:szCs w:val="22"/>
              </w:rPr>
              <w:t xml:space="preserve">The Board of Directors exercise their fiduciary responsibilities towards all stakeholders by ensuring transparency and independence in the decision-making process. The Board have adopted high standards and values which set out the discipline expected of staff in their dealings with the participants, shareholders, colleagues, brokers, and other stakeholders of the company. The governance of the Company remains under continuous review, </w:t>
            </w:r>
            <w:proofErr w:type="gramStart"/>
            <w:r w:rsidRPr="00973F15">
              <w:rPr>
                <w:rFonts w:asciiTheme="minorHAnsi" w:eastAsiaTheme="minorHAnsi" w:hAnsiTheme="minorHAnsi" w:cstheme="minorHAnsi"/>
                <w:sz w:val="22"/>
                <w:szCs w:val="22"/>
              </w:rPr>
              <w:t>in order to</w:t>
            </w:r>
            <w:proofErr w:type="gramEnd"/>
            <w:r w:rsidRPr="00973F15">
              <w:rPr>
                <w:rFonts w:asciiTheme="minorHAnsi" w:eastAsiaTheme="minorHAnsi" w:hAnsiTheme="minorHAnsi" w:cstheme="minorHAnsi"/>
                <w:sz w:val="22"/>
                <w:szCs w:val="22"/>
              </w:rPr>
              <w:t xml:space="preserve"> enhance compliance levels according to international standards and best practice.</w:t>
            </w:r>
          </w:p>
          <w:p w14:paraId="087388D7" w14:textId="77777777" w:rsid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p>
          <w:p w14:paraId="3CA7287F" w14:textId="53555A40" w:rsid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proofErr w:type="gramStart"/>
            <w:r w:rsidRPr="00973F15">
              <w:rPr>
                <w:rFonts w:asciiTheme="minorHAnsi" w:eastAsiaTheme="minorHAnsi" w:hAnsiTheme="minorHAnsi" w:cstheme="minorHAnsi"/>
                <w:sz w:val="22"/>
                <w:szCs w:val="22"/>
              </w:rPr>
              <w:t>In order to</w:t>
            </w:r>
            <w:proofErr w:type="gramEnd"/>
            <w:r w:rsidRPr="00973F15">
              <w:rPr>
                <w:rFonts w:asciiTheme="minorHAnsi" w:eastAsiaTheme="minorHAnsi" w:hAnsiTheme="minorHAnsi" w:cstheme="minorHAnsi"/>
                <w:sz w:val="22"/>
                <w:szCs w:val="22"/>
              </w:rPr>
              <w:t xml:space="preserve"> meet its objectives, the Board of Directors has formed four sub-committees – the Audit and Corporate Governance Committee, the Executive Committee, the Nomination &amp; Remuneration Committee and the Board Risk Committee. The roles and responsibilities delegated to the mentioned committees have been defined by the Board of Directors.</w:t>
            </w:r>
          </w:p>
          <w:p w14:paraId="0C74214B" w14:textId="77777777" w:rsidR="00973F15" w:rsidRPr="00973F15" w:rsidRDefault="00973F15" w:rsidP="00973F15">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p>
          <w:p w14:paraId="7CD3E4DF" w14:textId="73C97091" w:rsidR="00973F15" w:rsidRPr="00973F15" w:rsidRDefault="00973F15" w:rsidP="00973F15">
            <w:pPr>
              <w:pStyle w:val="NormalWeb"/>
              <w:spacing w:before="0" w:beforeAutospacing="0" w:after="0" w:afterAutospacing="0"/>
              <w:jc w:val="both"/>
              <w:rPr>
                <w:rFonts w:asciiTheme="minorHAnsi" w:eastAsiaTheme="minorHAnsi" w:hAnsiTheme="minorHAnsi" w:cstheme="minorHAnsi"/>
                <w:sz w:val="22"/>
                <w:szCs w:val="22"/>
              </w:rPr>
            </w:pPr>
            <w:r w:rsidRPr="00973F15">
              <w:rPr>
                <w:rFonts w:asciiTheme="minorHAnsi" w:hAnsiTheme="minorHAnsi" w:cstheme="minorHAnsi"/>
              </w:rPr>
              <w:t>To continuously strengthen the corporate governance in the Company, the Board aligns its Corporate Governance Guideline with the Corporate Governance Code issued by the Ministry of Industry, Commerce and Tourism and the High-Level Controls (HC) Module of the Central Bank of Bahrain’s (CBB) Rulebook, Volume 3. The Company is also committed to comply with the requirements of Governance Standards as issued by the Accounting &amp; Auditing Organization for Islamic Financial Institutions (AAOIFI).</w:t>
            </w:r>
          </w:p>
        </w:tc>
        <w:tc>
          <w:tcPr>
            <w:tcW w:w="4675" w:type="dxa"/>
          </w:tcPr>
          <w:p w14:paraId="43DF3DFE" w14:textId="54A28DE3" w:rsidR="00973F15" w:rsidRPr="00973F15" w:rsidRDefault="00973F15" w:rsidP="00973F15">
            <w:pPr>
              <w:bidi/>
              <w:jc w:val="both"/>
              <w:rPr>
                <w:rFonts w:cstheme="minorHAnsi"/>
                <w:sz w:val="24"/>
                <w:szCs w:val="24"/>
              </w:rPr>
            </w:pPr>
            <w:r w:rsidRPr="00973F15">
              <w:rPr>
                <w:rFonts w:cstheme="minorHAnsi"/>
                <w:rtl/>
              </w:rPr>
              <w:t xml:space="preserve">تعتبر </w:t>
            </w:r>
            <w:r w:rsidRPr="00973F15">
              <w:rPr>
                <w:rFonts w:cstheme="minorHAnsi"/>
                <w:rtl/>
                <w:lang w:bidi="ar-BH"/>
              </w:rPr>
              <w:t xml:space="preserve">حوكمة الشركات </w:t>
            </w:r>
            <w:r w:rsidRPr="00973F15">
              <w:rPr>
                <w:rFonts w:cstheme="minorHAnsi"/>
                <w:rtl/>
              </w:rPr>
              <w:t>جزءًا لا يتجزأ من إدارة الشركة وفلسفة الأعمال</w:t>
            </w:r>
            <w:r w:rsidRPr="00973F15">
              <w:rPr>
                <w:rFonts w:cstheme="minorHAnsi"/>
                <w:sz w:val="24"/>
                <w:szCs w:val="24"/>
                <w:rtl/>
              </w:rPr>
              <w:t>. وعليه تلتزم الشركة بمبادئ حوكمة الشركات بالكامل.</w:t>
            </w:r>
          </w:p>
          <w:p w14:paraId="7B2A2982" w14:textId="1B875D96" w:rsidR="00973F15" w:rsidRPr="00973F15" w:rsidRDefault="00973F15" w:rsidP="00973F15">
            <w:pPr>
              <w:bidi/>
              <w:jc w:val="both"/>
              <w:rPr>
                <w:rFonts w:cstheme="minorHAnsi"/>
                <w:sz w:val="24"/>
                <w:szCs w:val="24"/>
              </w:rPr>
            </w:pPr>
          </w:p>
          <w:p w14:paraId="331DF2A0" w14:textId="1EF1A145" w:rsidR="00973F15" w:rsidRPr="00973F15" w:rsidRDefault="00973F15" w:rsidP="00973F15">
            <w:pPr>
              <w:bidi/>
              <w:jc w:val="both"/>
              <w:rPr>
                <w:rFonts w:cstheme="minorHAnsi"/>
                <w:sz w:val="24"/>
                <w:szCs w:val="24"/>
              </w:rPr>
            </w:pPr>
          </w:p>
          <w:p w14:paraId="36C48FEF" w14:textId="2DD2A2AF" w:rsidR="00973F15" w:rsidRPr="00973F15" w:rsidRDefault="00973F15" w:rsidP="00973F15">
            <w:pPr>
              <w:bidi/>
              <w:jc w:val="both"/>
              <w:rPr>
                <w:rFonts w:cstheme="minorHAnsi"/>
                <w:sz w:val="24"/>
                <w:szCs w:val="24"/>
              </w:rPr>
            </w:pPr>
          </w:p>
          <w:p w14:paraId="04B7EBC5" w14:textId="77777777" w:rsidR="00973F15" w:rsidRPr="00973F15" w:rsidRDefault="00973F15" w:rsidP="00973F15">
            <w:pPr>
              <w:bidi/>
              <w:jc w:val="both"/>
              <w:rPr>
                <w:rFonts w:cstheme="minorHAnsi"/>
                <w:sz w:val="14"/>
                <w:szCs w:val="14"/>
              </w:rPr>
            </w:pPr>
          </w:p>
          <w:p w14:paraId="665A076C" w14:textId="77777777" w:rsidR="00973F15" w:rsidRPr="00973F15" w:rsidRDefault="00973F15" w:rsidP="00973F15">
            <w:pPr>
              <w:bidi/>
              <w:jc w:val="both"/>
              <w:rPr>
                <w:rFonts w:cstheme="minorHAnsi"/>
                <w:sz w:val="24"/>
                <w:szCs w:val="24"/>
              </w:rPr>
            </w:pPr>
            <w:r w:rsidRPr="00973F15">
              <w:rPr>
                <w:rFonts w:cstheme="minorHAnsi"/>
                <w:sz w:val="24"/>
                <w:szCs w:val="24"/>
                <w:rtl/>
              </w:rPr>
              <w:t xml:space="preserve">يمارس مجلس الإدارة مسؤولياته تجاه جميع أصحاب المصالح في الشركة من خلال ضمان الشفافية والاستقلالية في عملية صنع القرار. اعتمد مجلس الإدارة معايير وقيم عالية تحدد الانضباط المتوقع من الموظفين في تعاملاتهم مع المشاركين والمساهمين والزملاء والوسطاء وأصحاب </w:t>
            </w:r>
            <w:r w:rsidRPr="00973F15">
              <w:rPr>
                <w:rFonts w:cstheme="minorHAnsi"/>
                <w:sz w:val="24"/>
                <w:szCs w:val="24"/>
                <w:rtl/>
                <w:lang w:bidi="ar-BH"/>
              </w:rPr>
              <w:t>المصالح</w:t>
            </w:r>
            <w:r w:rsidRPr="00973F15">
              <w:rPr>
                <w:rFonts w:cstheme="minorHAnsi"/>
                <w:sz w:val="24"/>
                <w:szCs w:val="24"/>
                <w:rtl/>
              </w:rPr>
              <w:t xml:space="preserve"> الآخرين في الشركة. حوكمة الشركة تقع تحت المراجعة المستمرة ، من أجل تعزيز مستويات الامتثال وفقًا للمعايير الدولية وأفضل الممارسات.</w:t>
            </w:r>
          </w:p>
          <w:p w14:paraId="257B278F" w14:textId="77777777" w:rsidR="00973F15" w:rsidRPr="00973F15" w:rsidRDefault="00973F15" w:rsidP="00973F15">
            <w:pPr>
              <w:bidi/>
              <w:jc w:val="both"/>
              <w:rPr>
                <w:rFonts w:cstheme="minorHAnsi"/>
                <w:sz w:val="24"/>
                <w:szCs w:val="24"/>
              </w:rPr>
            </w:pPr>
          </w:p>
          <w:p w14:paraId="4A5565E7" w14:textId="493332B9" w:rsidR="00973F15" w:rsidRPr="00973F15" w:rsidRDefault="00973F15" w:rsidP="00973F15">
            <w:pPr>
              <w:bidi/>
              <w:jc w:val="both"/>
              <w:rPr>
                <w:rFonts w:cstheme="minorHAnsi"/>
                <w:sz w:val="24"/>
                <w:szCs w:val="24"/>
              </w:rPr>
            </w:pPr>
          </w:p>
          <w:p w14:paraId="4C2DBAF3" w14:textId="1169CAA8" w:rsidR="00973F15" w:rsidRPr="00973F15" w:rsidRDefault="00973F15" w:rsidP="00973F15">
            <w:pPr>
              <w:bidi/>
              <w:jc w:val="both"/>
              <w:rPr>
                <w:rFonts w:cstheme="minorHAnsi"/>
                <w:sz w:val="24"/>
                <w:szCs w:val="24"/>
              </w:rPr>
            </w:pPr>
          </w:p>
          <w:p w14:paraId="2290425C" w14:textId="77777777" w:rsidR="00973F15" w:rsidRPr="00973F15" w:rsidRDefault="00973F15" w:rsidP="00973F15">
            <w:pPr>
              <w:bidi/>
              <w:jc w:val="both"/>
              <w:rPr>
                <w:rFonts w:cstheme="minorHAnsi"/>
                <w:sz w:val="24"/>
                <w:szCs w:val="24"/>
              </w:rPr>
            </w:pPr>
          </w:p>
          <w:p w14:paraId="26DBA562" w14:textId="399CF3D3" w:rsidR="00973F15" w:rsidRPr="00973F15" w:rsidRDefault="00973F15" w:rsidP="00973F15">
            <w:pPr>
              <w:bidi/>
              <w:jc w:val="both"/>
              <w:rPr>
                <w:rFonts w:cstheme="minorHAnsi"/>
                <w:sz w:val="24"/>
                <w:szCs w:val="24"/>
              </w:rPr>
            </w:pPr>
            <w:r w:rsidRPr="00973F15">
              <w:rPr>
                <w:rFonts w:cstheme="minorHAnsi"/>
                <w:sz w:val="24"/>
                <w:szCs w:val="24"/>
                <w:rtl/>
              </w:rPr>
              <w:t>من أجل تحقيق أهدافه، شكل مجلس الإدارة أربع لجان فرعية - لجنة التدقيق و</w:t>
            </w:r>
            <w:r w:rsidR="00E17763">
              <w:rPr>
                <w:rFonts w:cstheme="minorHAnsi" w:hint="cs"/>
                <w:sz w:val="24"/>
                <w:szCs w:val="24"/>
                <w:rtl/>
                <w:lang w:bidi="ar-BH"/>
              </w:rPr>
              <w:t>ال</w:t>
            </w:r>
            <w:r w:rsidRPr="00973F15">
              <w:rPr>
                <w:rFonts w:cstheme="minorHAnsi"/>
                <w:sz w:val="24"/>
                <w:szCs w:val="24"/>
                <w:rtl/>
              </w:rPr>
              <w:t>حوكمة، اللجنة التنفيذية، لجنة الترشيح والمكافآت ولجنة المخاطر التابعة لمجلس الإدارة. تم تحديد الأدوار والمسؤوليات الموكلة إلى اللجان المذكورة من قبل مجلس الإدارة.</w:t>
            </w:r>
          </w:p>
          <w:p w14:paraId="46A3EB2A" w14:textId="198177BD" w:rsidR="00973F15" w:rsidRPr="00973F15" w:rsidRDefault="00973F15" w:rsidP="00973F15">
            <w:pPr>
              <w:bidi/>
              <w:jc w:val="both"/>
              <w:rPr>
                <w:rFonts w:cstheme="minorHAnsi"/>
                <w:sz w:val="24"/>
                <w:szCs w:val="24"/>
              </w:rPr>
            </w:pPr>
          </w:p>
          <w:p w14:paraId="7153A6A1" w14:textId="312C664D" w:rsidR="00973F15" w:rsidRPr="00973F15" w:rsidRDefault="00973F15" w:rsidP="00973F15">
            <w:pPr>
              <w:bidi/>
              <w:jc w:val="both"/>
              <w:rPr>
                <w:rFonts w:cstheme="minorHAnsi"/>
                <w:sz w:val="24"/>
                <w:szCs w:val="24"/>
              </w:rPr>
            </w:pPr>
          </w:p>
          <w:p w14:paraId="0F5D5C89" w14:textId="1032537E" w:rsidR="00973F15" w:rsidRDefault="00973F15" w:rsidP="00973F15">
            <w:pPr>
              <w:bidi/>
              <w:jc w:val="both"/>
              <w:rPr>
                <w:rFonts w:cstheme="minorHAnsi"/>
                <w:sz w:val="24"/>
                <w:szCs w:val="24"/>
              </w:rPr>
            </w:pPr>
          </w:p>
          <w:p w14:paraId="75B9B62D" w14:textId="77777777" w:rsidR="00973F15" w:rsidRPr="00973F15" w:rsidRDefault="00973F15" w:rsidP="00973F15">
            <w:pPr>
              <w:bidi/>
              <w:jc w:val="both"/>
              <w:rPr>
                <w:rFonts w:cstheme="minorHAnsi"/>
                <w:sz w:val="10"/>
                <w:szCs w:val="10"/>
              </w:rPr>
            </w:pPr>
          </w:p>
          <w:p w14:paraId="536470B3" w14:textId="3AE29364" w:rsidR="00973F15" w:rsidRPr="00973F15" w:rsidRDefault="00973F15" w:rsidP="00973F15">
            <w:pPr>
              <w:bidi/>
              <w:jc w:val="both"/>
              <w:rPr>
                <w:rFonts w:cstheme="minorHAnsi"/>
                <w:sz w:val="24"/>
                <w:szCs w:val="24"/>
                <w:rtl/>
              </w:rPr>
            </w:pPr>
            <w:r w:rsidRPr="00973F15">
              <w:rPr>
                <w:rFonts w:cstheme="minorHAnsi"/>
                <w:sz w:val="24"/>
                <w:szCs w:val="24"/>
                <w:rtl/>
              </w:rPr>
              <w:t xml:space="preserve">لتعزيز حوكمة الشركة بإستمرار، يقوم مجلس الإدارة بمواءمة دليل حوكمة </w:t>
            </w:r>
            <w:r w:rsidRPr="00973F15">
              <w:rPr>
                <w:rFonts w:cstheme="minorHAnsi"/>
                <w:sz w:val="24"/>
                <w:szCs w:val="24"/>
                <w:rtl/>
                <w:lang w:bidi="ar-BH"/>
              </w:rPr>
              <w:t>الشركة</w:t>
            </w:r>
            <w:r w:rsidRPr="00973F15">
              <w:rPr>
                <w:rFonts w:cstheme="minorHAnsi"/>
                <w:sz w:val="24"/>
                <w:szCs w:val="24"/>
                <w:rtl/>
              </w:rPr>
              <w:t xml:space="preserve"> مع قانون حوكمة الشركات الصادر عن وزارة الصناعة والتجارة والسياحة، قوانين مصرف البحرين المركزي وتلتزم الشركة أي</w:t>
            </w:r>
            <w:r w:rsidR="00E17763">
              <w:rPr>
                <w:rFonts w:cstheme="minorHAnsi" w:hint="cs"/>
                <w:sz w:val="24"/>
                <w:szCs w:val="24"/>
                <w:rtl/>
              </w:rPr>
              <w:t>ض</w:t>
            </w:r>
            <w:r w:rsidRPr="00973F15">
              <w:rPr>
                <w:rFonts w:cstheme="minorHAnsi"/>
                <w:sz w:val="24"/>
                <w:szCs w:val="24"/>
                <w:rtl/>
              </w:rPr>
              <w:t>اً بالامتثال لمتطلبات معايير الحوكمة الصادرة عن هيئة المحاسبة والمراجعة للمؤسسات المالية الإسلامية (</w:t>
            </w:r>
            <w:r w:rsidRPr="00973F15">
              <w:rPr>
                <w:rFonts w:cstheme="minorHAnsi"/>
                <w:sz w:val="24"/>
                <w:szCs w:val="24"/>
              </w:rPr>
              <w:t>AAOIFI</w:t>
            </w:r>
            <w:r w:rsidRPr="00973F15">
              <w:rPr>
                <w:rFonts w:cstheme="minorHAnsi"/>
                <w:sz w:val="24"/>
                <w:szCs w:val="24"/>
                <w:rtl/>
              </w:rPr>
              <w:t>)</w:t>
            </w:r>
            <w:r w:rsidRPr="00973F15">
              <w:rPr>
                <w:rFonts w:cstheme="minorHAnsi"/>
                <w:sz w:val="24"/>
                <w:szCs w:val="24"/>
              </w:rPr>
              <w:t xml:space="preserve"> .</w:t>
            </w:r>
          </w:p>
          <w:p w14:paraId="680044C2" w14:textId="77777777" w:rsidR="00973F15" w:rsidRPr="00973F15" w:rsidRDefault="00973F15" w:rsidP="00973F15">
            <w:pPr>
              <w:pStyle w:val="NormalWeb"/>
              <w:bidi/>
              <w:spacing w:before="0" w:beforeAutospacing="0" w:after="0" w:afterAutospacing="0"/>
              <w:jc w:val="both"/>
              <w:rPr>
                <w:rFonts w:asciiTheme="minorHAnsi" w:eastAsiaTheme="minorHAnsi" w:hAnsiTheme="minorHAnsi" w:cstheme="minorHAnsi"/>
                <w:sz w:val="22"/>
                <w:szCs w:val="22"/>
              </w:rPr>
            </w:pPr>
          </w:p>
        </w:tc>
      </w:tr>
    </w:tbl>
    <w:p w14:paraId="030B5A42" w14:textId="77777777" w:rsidR="00973F15" w:rsidRDefault="00973F15" w:rsidP="00276CF0">
      <w:pPr>
        <w:pStyle w:val="NormalWeb"/>
        <w:shd w:val="clear" w:color="auto" w:fill="FFFFFF"/>
        <w:spacing w:before="0" w:beforeAutospacing="0" w:after="160" w:afterAutospacing="0"/>
        <w:jc w:val="both"/>
        <w:rPr>
          <w:rFonts w:asciiTheme="minorHAnsi" w:eastAsiaTheme="minorHAnsi" w:hAnsiTheme="minorHAnsi" w:cstheme="minorBidi"/>
          <w:sz w:val="22"/>
          <w:szCs w:val="22"/>
        </w:rPr>
      </w:pPr>
    </w:p>
    <w:sectPr w:rsidR="0097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6A"/>
    <w:rsid w:val="00097596"/>
    <w:rsid w:val="001114B6"/>
    <w:rsid w:val="001B6471"/>
    <w:rsid w:val="00276CF0"/>
    <w:rsid w:val="00436F3C"/>
    <w:rsid w:val="00693A33"/>
    <w:rsid w:val="00791B4D"/>
    <w:rsid w:val="007C6F4C"/>
    <w:rsid w:val="008B58FD"/>
    <w:rsid w:val="00973F15"/>
    <w:rsid w:val="00B6511C"/>
    <w:rsid w:val="00B7616A"/>
    <w:rsid w:val="00C87B72"/>
    <w:rsid w:val="00DC68BA"/>
    <w:rsid w:val="00E17763"/>
    <w:rsid w:val="00F41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5B59"/>
  <w15:chartTrackingRefBased/>
  <w15:docId w15:val="{10EAF427-CC3D-42E7-A56B-0AB8E2FD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59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9759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97596"/>
    <w:rPr>
      <w:rFonts w:ascii="Times New Roman" w:eastAsia="Times New Roman" w:hAnsi="Times New Roman" w:cs="Times New Roman"/>
      <w:sz w:val="20"/>
      <w:szCs w:val="20"/>
    </w:rPr>
  </w:style>
  <w:style w:type="table" w:styleId="TableGrid">
    <w:name w:val="Table Grid"/>
    <w:basedOn w:val="TableNormal"/>
    <w:uiPriority w:val="39"/>
    <w:rsid w:val="0097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202">
      <w:bodyDiv w:val="1"/>
      <w:marLeft w:val="0"/>
      <w:marRight w:val="0"/>
      <w:marTop w:val="0"/>
      <w:marBottom w:val="0"/>
      <w:divBdr>
        <w:top w:val="none" w:sz="0" w:space="0" w:color="auto"/>
        <w:left w:val="none" w:sz="0" w:space="0" w:color="auto"/>
        <w:bottom w:val="none" w:sz="0" w:space="0" w:color="auto"/>
        <w:right w:val="none" w:sz="0" w:space="0" w:color="auto"/>
      </w:divBdr>
    </w:div>
    <w:div w:id="221330933">
      <w:bodyDiv w:val="1"/>
      <w:marLeft w:val="0"/>
      <w:marRight w:val="0"/>
      <w:marTop w:val="0"/>
      <w:marBottom w:val="0"/>
      <w:divBdr>
        <w:top w:val="none" w:sz="0" w:space="0" w:color="auto"/>
        <w:left w:val="none" w:sz="0" w:space="0" w:color="auto"/>
        <w:bottom w:val="none" w:sz="0" w:space="0" w:color="auto"/>
        <w:right w:val="none" w:sz="0" w:space="0" w:color="auto"/>
      </w:divBdr>
      <w:divsChild>
        <w:div w:id="1648709373">
          <w:marLeft w:val="225"/>
          <w:marRight w:val="0"/>
          <w:marTop w:val="0"/>
          <w:marBottom w:val="600"/>
          <w:divBdr>
            <w:top w:val="none" w:sz="0" w:space="0" w:color="auto"/>
            <w:left w:val="none" w:sz="0" w:space="0" w:color="auto"/>
            <w:bottom w:val="none" w:sz="0" w:space="0" w:color="auto"/>
            <w:right w:val="none" w:sz="0" w:space="0" w:color="auto"/>
          </w:divBdr>
        </w:div>
        <w:div w:id="1445809328">
          <w:marLeft w:val="225"/>
          <w:marRight w:val="0"/>
          <w:marTop w:val="0"/>
          <w:marBottom w:val="600"/>
          <w:divBdr>
            <w:top w:val="none" w:sz="0" w:space="0" w:color="auto"/>
            <w:left w:val="none" w:sz="0" w:space="0" w:color="auto"/>
            <w:bottom w:val="none" w:sz="0" w:space="0" w:color="auto"/>
            <w:right w:val="none" w:sz="0" w:space="0" w:color="auto"/>
          </w:divBdr>
        </w:div>
        <w:div w:id="745734798">
          <w:marLeft w:val="225"/>
          <w:marRight w:val="0"/>
          <w:marTop w:val="0"/>
          <w:marBottom w:val="0"/>
          <w:divBdr>
            <w:top w:val="none" w:sz="0" w:space="0" w:color="auto"/>
            <w:left w:val="none" w:sz="0" w:space="0" w:color="auto"/>
            <w:bottom w:val="none" w:sz="0" w:space="0" w:color="auto"/>
            <w:right w:val="none" w:sz="0" w:space="0" w:color="auto"/>
          </w:divBdr>
        </w:div>
      </w:divsChild>
    </w:div>
    <w:div w:id="960116690">
      <w:bodyDiv w:val="1"/>
      <w:marLeft w:val="0"/>
      <w:marRight w:val="0"/>
      <w:marTop w:val="0"/>
      <w:marBottom w:val="0"/>
      <w:divBdr>
        <w:top w:val="none" w:sz="0" w:space="0" w:color="auto"/>
        <w:left w:val="none" w:sz="0" w:space="0" w:color="auto"/>
        <w:bottom w:val="none" w:sz="0" w:space="0" w:color="auto"/>
        <w:right w:val="none" w:sz="0" w:space="0" w:color="auto"/>
      </w:divBdr>
    </w:div>
    <w:div w:id="1304769273">
      <w:bodyDiv w:val="1"/>
      <w:marLeft w:val="0"/>
      <w:marRight w:val="0"/>
      <w:marTop w:val="0"/>
      <w:marBottom w:val="0"/>
      <w:divBdr>
        <w:top w:val="none" w:sz="0" w:space="0" w:color="auto"/>
        <w:left w:val="none" w:sz="0" w:space="0" w:color="auto"/>
        <w:bottom w:val="none" w:sz="0" w:space="0" w:color="auto"/>
        <w:right w:val="none" w:sz="0" w:space="0" w:color="auto"/>
      </w:divBdr>
      <w:divsChild>
        <w:div w:id="48189821">
          <w:marLeft w:val="-225"/>
          <w:marRight w:val="-225"/>
          <w:marTop w:val="0"/>
          <w:marBottom w:val="0"/>
          <w:divBdr>
            <w:top w:val="none" w:sz="0" w:space="0" w:color="auto"/>
            <w:left w:val="none" w:sz="0" w:space="0" w:color="auto"/>
            <w:bottom w:val="none" w:sz="0" w:space="0" w:color="auto"/>
            <w:right w:val="none" w:sz="0" w:space="0" w:color="auto"/>
          </w:divBdr>
          <w:divsChild>
            <w:div w:id="1453524375">
              <w:marLeft w:val="0"/>
              <w:marRight w:val="0"/>
              <w:marTop w:val="0"/>
              <w:marBottom w:val="0"/>
              <w:divBdr>
                <w:top w:val="none" w:sz="0" w:space="0" w:color="auto"/>
                <w:left w:val="none" w:sz="0" w:space="0" w:color="auto"/>
                <w:bottom w:val="none" w:sz="0" w:space="0" w:color="auto"/>
                <w:right w:val="none" w:sz="0" w:space="0" w:color="auto"/>
              </w:divBdr>
              <w:divsChild>
                <w:div w:id="1987541316">
                  <w:marLeft w:val="0"/>
                  <w:marRight w:val="0"/>
                  <w:marTop w:val="0"/>
                  <w:marBottom w:val="0"/>
                  <w:divBdr>
                    <w:top w:val="none" w:sz="0" w:space="0" w:color="auto"/>
                    <w:left w:val="none" w:sz="0" w:space="0" w:color="auto"/>
                    <w:bottom w:val="none" w:sz="0" w:space="0" w:color="auto"/>
                    <w:right w:val="none" w:sz="0" w:space="0" w:color="auto"/>
                  </w:divBdr>
                  <w:divsChild>
                    <w:div w:id="1210532375">
                      <w:marLeft w:val="0"/>
                      <w:marRight w:val="0"/>
                      <w:marTop w:val="0"/>
                      <w:marBottom w:val="0"/>
                      <w:divBdr>
                        <w:top w:val="none" w:sz="0" w:space="0" w:color="auto"/>
                        <w:left w:val="none" w:sz="0" w:space="0" w:color="auto"/>
                        <w:bottom w:val="none" w:sz="0" w:space="0" w:color="auto"/>
                        <w:right w:val="none" w:sz="0" w:space="0" w:color="auto"/>
                      </w:divBdr>
                      <w:divsChild>
                        <w:div w:id="596715958">
                          <w:marLeft w:val="0"/>
                          <w:marRight w:val="0"/>
                          <w:marTop w:val="0"/>
                          <w:marBottom w:val="0"/>
                          <w:divBdr>
                            <w:top w:val="none" w:sz="0" w:space="0" w:color="auto"/>
                            <w:left w:val="none" w:sz="0" w:space="0" w:color="auto"/>
                            <w:bottom w:val="none" w:sz="0" w:space="0" w:color="auto"/>
                            <w:right w:val="none" w:sz="0" w:space="0" w:color="auto"/>
                          </w:divBdr>
                          <w:divsChild>
                            <w:div w:id="1836727731">
                              <w:marLeft w:val="0"/>
                              <w:marRight w:val="0"/>
                              <w:marTop w:val="0"/>
                              <w:marBottom w:val="0"/>
                              <w:divBdr>
                                <w:top w:val="none" w:sz="0" w:space="0" w:color="auto"/>
                                <w:left w:val="none" w:sz="0" w:space="0" w:color="auto"/>
                                <w:bottom w:val="none" w:sz="0" w:space="0" w:color="auto"/>
                                <w:right w:val="none" w:sz="0" w:space="0" w:color="auto"/>
                              </w:divBdr>
                              <w:divsChild>
                                <w:div w:id="43992722">
                                  <w:marLeft w:val="-225"/>
                                  <w:marRight w:val="-225"/>
                                  <w:marTop w:val="0"/>
                                  <w:marBottom w:val="0"/>
                                  <w:divBdr>
                                    <w:top w:val="none" w:sz="0" w:space="0" w:color="auto"/>
                                    <w:left w:val="none" w:sz="0" w:space="0" w:color="auto"/>
                                    <w:bottom w:val="none" w:sz="0" w:space="0" w:color="auto"/>
                                    <w:right w:val="none" w:sz="0" w:space="0" w:color="auto"/>
                                  </w:divBdr>
                                  <w:divsChild>
                                    <w:div w:id="357391156">
                                      <w:marLeft w:val="0"/>
                                      <w:marRight w:val="0"/>
                                      <w:marTop w:val="0"/>
                                      <w:marBottom w:val="0"/>
                                      <w:divBdr>
                                        <w:top w:val="none" w:sz="0" w:space="0" w:color="auto"/>
                                        <w:left w:val="none" w:sz="0" w:space="0" w:color="auto"/>
                                        <w:bottom w:val="none" w:sz="0" w:space="0" w:color="auto"/>
                                        <w:right w:val="none" w:sz="0" w:space="0" w:color="auto"/>
                                      </w:divBdr>
                                      <w:divsChild>
                                        <w:div w:id="1279219121">
                                          <w:marLeft w:val="0"/>
                                          <w:marRight w:val="0"/>
                                          <w:marTop w:val="0"/>
                                          <w:marBottom w:val="0"/>
                                          <w:divBdr>
                                            <w:top w:val="none" w:sz="0" w:space="0" w:color="auto"/>
                                            <w:left w:val="none" w:sz="0" w:space="0" w:color="auto"/>
                                            <w:bottom w:val="none" w:sz="0" w:space="0" w:color="auto"/>
                                            <w:right w:val="none" w:sz="0" w:space="0" w:color="auto"/>
                                          </w:divBdr>
                                          <w:divsChild>
                                            <w:div w:id="1999383233">
                                              <w:marLeft w:val="0"/>
                                              <w:marRight w:val="0"/>
                                              <w:marTop w:val="0"/>
                                              <w:marBottom w:val="0"/>
                                              <w:divBdr>
                                                <w:top w:val="none" w:sz="0" w:space="0" w:color="auto"/>
                                                <w:left w:val="none" w:sz="0" w:space="0" w:color="auto"/>
                                                <w:bottom w:val="none" w:sz="0" w:space="0" w:color="auto"/>
                                                <w:right w:val="none" w:sz="0" w:space="0" w:color="auto"/>
                                              </w:divBdr>
                                              <w:divsChild>
                                                <w:div w:id="138543711">
                                                  <w:marLeft w:val="0"/>
                                                  <w:marRight w:val="0"/>
                                                  <w:marTop w:val="0"/>
                                                  <w:marBottom w:val="0"/>
                                                  <w:divBdr>
                                                    <w:top w:val="none" w:sz="0" w:space="0" w:color="auto"/>
                                                    <w:left w:val="none" w:sz="0" w:space="0" w:color="auto"/>
                                                    <w:bottom w:val="none" w:sz="0" w:space="0" w:color="auto"/>
                                                    <w:right w:val="none" w:sz="0" w:space="0" w:color="auto"/>
                                                  </w:divBdr>
                                                  <w:divsChild>
                                                    <w:div w:id="6978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208">
      <w:bodyDiv w:val="1"/>
      <w:marLeft w:val="0"/>
      <w:marRight w:val="0"/>
      <w:marTop w:val="0"/>
      <w:marBottom w:val="0"/>
      <w:divBdr>
        <w:top w:val="none" w:sz="0" w:space="0" w:color="auto"/>
        <w:left w:val="none" w:sz="0" w:space="0" w:color="auto"/>
        <w:bottom w:val="none" w:sz="0" w:space="0" w:color="auto"/>
        <w:right w:val="none" w:sz="0" w:space="0" w:color="auto"/>
      </w:divBdr>
      <w:divsChild>
        <w:div w:id="4939928">
          <w:marLeft w:val="0"/>
          <w:marRight w:val="0"/>
          <w:marTop w:val="0"/>
          <w:marBottom w:val="525"/>
          <w:divBdr>
            <w:top w:val="none" w:sz="0" w:space="0" w:color="auto"/>
            <w:left w:val="none" w:sz="0" w:space="0" w:color="auto"/>
            <w:bottom w:val="none" w:sz="0" w:space="0" w:color="auto"/>
            <w:right w:val="none" w:sz="0" w:space="0" w:color="auto"/>
          </w:divBdr>
          <w:divsChild>
            <w:div w:id="1564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896">
      <w:bodyDiv w:val="1"/>
      <w:marLeft w:val="0"/>
      <w:marRight w:val="0"/>
      <w:marTop w:val="0"/>
      <w:marBottom w:val="0"/>
      <w:divBdr>
        <w:top w:val="none" w:sz="0" w:space="0" w:color="auto"/>
        <w:left w:val="none" w:sz="0" w:space="0" w:color="auto"/>
        <w:bottom w:val="none" w:sz="0" w:space="0" w:color="auto"/>
        <w:right w:val="none" w:sz="0" w:space="0" w:color="auto"/>
      </w:divBdr>
    </w:div>
    <w:div w:id="20272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Abdulaziz</dc:creator>
  <cp:keywords/>
  <dc:description/>
  <cp:lastModifiedBy>Najat Al Wadi</cp:lastModifiedBy>
  <cp:revision>3</cp:revision>
  <dcterms:created xsi:type="dcterms:W3CDTF">2021-11-25T07:50:00Z</dcterms:created>
  <dcterms:modified xsi:type="dcterms:W3CDTF">2021-11-25T07:55:00Z</dcterms:modified>
</cp:coreProperties>
</file>